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VERGI MAHKEMESI DAVA DILEKÇESI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VERGİ MAHKEMESİ SAYIN BAŞKANLIĞI’NA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Tarhiyat ve vergi ziyaı/cezasının iptali; yürütmenin durdurulması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Davalı ………… Vergi Dairesi Müdürlüğü’nce …/…/…… tarih ve …… sayılı ihbarname/ödeme emri ile ………… dönemi için ………… TL vergi ve ………… TL ceza tarh edilmiştir. Tebliğ: …/…/…….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Tarhiyat; matrah, dönem, usul, tebliğ ve delil yönünden hukuka aykırıdır. İnceleme raporu / takdir komisyonu kararı hatalıdır. Açıklama: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İşlemin icrası telafisi güç zarar doğuracağından yürütmenin durdurulması talep olunur. Dava süresi içindedir.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213 sayılı VUK.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2577 sayılı İYUK m.27.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İlgili vergi kanunu (KDV/GV/KV vb.).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Yürütmenin durdurulmasına;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Tarhiyat ve cezaların iptaline;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giderlerinin davalıya yükletilmesine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İhbarname/ödeme emri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İnceleme raporu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Defter-belge örnekleri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Vergi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