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VERGI BORCUNA İTIRAZ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VERGİ DAİRESİ MÜDÜRLÜĞÜ’NE / UZLAŞMA KOMİSYONU’NA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Vergi Borcuna İtiraz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«Vergi Borcuna İtiraz»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İdari işlemin tebliğ tarihi, dayanak rapor/tutanak ve yasal itiraz/dava süreleri açıkça gösterilmiştir. Usul ekonomisi ve hak arama özgürlüğü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213 sayılı VUK; ilgili vergi kanunları; 2577 sayılı İYUK.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«Vergi Borcuna İtiraz»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Vergi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