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rFonts w:ascii="Times New Roman" w:hAnsi="Times New Roman"/>
          <w:b/>
          <w:sz w:val="26"/>
        </w:rPr>
        <w:t>VELAYET DEĞIŞIKLIĞI DILEKÇESI (ÖRNEK ŞABLON)</w:t>
      </w:r>
    </w:p>
    <w:p>
      <w:pPr>
        <w:spacing w:after="40" w:before="0"/>
        <w:jc w:val="both"/>
      </w:pPr>
      <w:r>
        <w:rPr>
          <w:rFonts w:ascii="Times New Roman" w:hAnsi="Times New Roman"/>
          <w:i/>
          <w:color w:val="666666"/>
          <w:sz w:val="16"/>
        </w:rPr>
        <w:t>ÖNEMLİ UYARI: İşbu metin yalnızca genel bilgilendirme ve örnek şablon niteliğindedir; somut olaya, güncel mevzuata ve mahkeme/icra/arabuluculuk uygulamasına göre uyarlanmalıdır. Hukuki tavsiye, reklam veya sonuç vaadi değildir. Gerekli hallerde avukat desteği alınmalıdır.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… AİLE MAHKEMESİ SAYIN BAŞKANLIĞI’NA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DAVACI / BAŞVURAN / MÜŞTEKİ : …………………………………    T.C. No: ……………………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VEKİLİ (varsa)             : Av. …………………………………    Baro Sicil: …………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DAVALI / KARŞI TARAF / ŞÜPHELİ : …………………………………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TEBLİĞ ADRESİ             : …………………………………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</w:pPr>
      <w:r>
        <w:rPr>
          <w:rFonts w:ascii="Times New Roman" w:hAnsi="Times New Roman"/>
          <w:b/>
          <w:sz w:val="22"/>
        </w:rPr>
        <w:t>KONU : Müşterek çocuk velayetinin değiştirilmesi ve kişisel ilişki/nafaka düzenlemesi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</w:pPr>
      <w:r>
        <w:rPr>
          <w:rFonts w:ascii="Times New Roman" w:hAnsi="Times New Roman"/>
          <w:b/>
          <w:sz w:val="22"/>
        </w:rPr>
        <w:t>AÇIKLAMALAR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────────────────────────────────────────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1. Mahkemenizin önceki kararı ile müşterek çocuk …………’ın velayeti davalıya bırakılmıştır. Kişisel ilişki ve nafaka da bu çerçevede düzenlenmiştir.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2. Aradan geçen sürede çocuğun üstün yararı değişmiştir. Davalının bakım, barınma, eğitim ve güvenli ortam sağlama koşulları yetersizdir / çocuğun menfaatine aykırı gelişmeler olmuştur: ………….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3. Davacı, çocuğa daha uygun maddi-manevi ortam sunabilecek durumdadır. TMK’nın velayete ilişkin hükümleri ve çocuğun üstün yararı ilkesi uyarınca velayetin değiştirilmesi gerekmektedir.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</w:pPr>
      <w:r>
        <w:rPr>
          <w:rFonts w:ascii="Times New Roman" w:hAnsi="Times New Roman"/>
          <w:b/>
          <w:sz w:val="22"/>
        </w:rPr>
        <w:t>HUKUKİ SEBEPLER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────────────────────────────────────────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1. 4721 sayılı TMK m.182, 183, 335–351.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2. Çocuk Haklarına dair uluslararası ilkeler ve Yargıtay uygulaması.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</w:pPr>
      <w:r>
        <w:rPr>
          <w:rFonts w:ascii="Times New Roman" w:hAnsi="Times New Roman"/>
          <w:b/>
          <w:sz w:val="22"/>
        </w:rPr>
        <w:t>SONUÇ VE TALEP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────────────────────────────────────────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Yukarıda arz ve izah olunan nedenlerle; yasal haklarımız saklı kalmak kaydıyla: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1. Velayetin davacıya verilmesine;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2. Kişisel ilişki ve nafakanın buna göre yeniden düzenlenmesine;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3. Gerekiyorsa tedbiren velayetin davacıya bırakılmasına;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4. Yargılama giderlerinin davalıya yükletilmesine karar verilmesini arz ederiz.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</w:pPr>
      <w:r>
        <w:rPr>
          <w:rFonts w:ascii="Times New Roman" w:hAnsi="Times New Roman"/>
          <w:b/>
          <w:sz w:val="22"/>
        </w:rPr>
        <w:t>DELİLLER / EKLER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────────────────────────────────────────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1. Önceki velayet ilamı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2. Sosyal/ekonomik durum belgeleri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3. Okul-sağlık belgeleri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4. Tanık listesi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Kategori (bilgi): Aile Hukuku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Tarih : …/…/……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Saygılarımızla,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Adı Soyadı / Avukat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İmza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Adres / Tel / KEP: ……………………</w:t>
      </w:r>
    </w:p>
    <w:sectPr w:rsidR="00FC693F" w:rsidRPr="0006063C" w:rsidSect="00034616">
      <w:pgSz w:w="12240" w:h="15840"/>
      <w:pgMar w:top="1020" w:right="1247" w:bottom="102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