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TRAFIK CEZASINA İTIRAZ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SULH CEZA HÂKİMLİĞİ’NE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Trafik idari para cezasına / işlemine itiraz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…/…/…… tarihli, …… seri-sıra nolu trafik idari para cezası / işlem tutanağı …/…/…… tarihinde tebliğ edilmiştir. Plaka: …………. İhlal iddiası: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İşlem hukuka aykırıdır: a) Araç o anda orada değildi b) Sürücü farklı kişi c) İşaretleme/ölçüm hatalı d) Tebliğ usulsüz e) Diğer: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2918 sayılı KTK ve ilgili yönetmeliklere aykırı cezanın iptali için yasal sürede itiraz edilmektedir.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2918 sayılı Karayolları Trafik Kanunu.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5326 sayılı Kabahatler Kanunu itiraz hükümleri.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İdari yaptırımlara ilişkin usul kuralları.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İdari para cezasının/iptalinin kaldırılmasına;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Yürütmenin durdurulmasına (ödeme yapılmışsa iadesine);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Yargılama giderlerinin idareye yükletilmesine karar verilmesini arz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Ceza tebliğ belgesi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Tutanak sureti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Delil (kamera, tanık, bakım kaydı)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İdare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