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TEHDIT ŞIKÂYETI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T.C. ………… CUMHURİYET BAŞSAVCILIĞI’NA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TCK m.106 — tehdit suçundan şikâyet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…/…/…… tarihinde şüpheli, müştekiye yönelik olarak ………… şeklinde tehditte bulunmuştur (sözlü/yazılı/dijital).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Tehdit içeriği hayat, vücut veya malvarlığına yönelik somut bir kötülük bildirimidir. Tanık/mesaj/kayıt: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Müşteki korku ve endişe içindedir; koruma tedbirleri de talep olunabilir.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5237 sayılı TCK m.106.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5271 sayılı CMK; 6284 sayılı Kanun (aile içi ise).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Soruşturma ve kamu davası için işlem tesisine;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Gerekli koruma tedbirlerine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Mesaj/kayıt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Tanık listesi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Kimlik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Ceza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