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MAL REJIMI TASFIYESI DILEKÇESI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AİLE MAHKEMESİ SAYIN BAŞKANLIĞI’NA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Edinilmiş mallara katılma rejiminin tasfiyesi ve katkı/artık değer alacağı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Taraflar …/…/…… – …/…/…… tarihleri arasında evli kalmış; boşanma kararı …/…/…… tarihinde kesinleşmiştir. Yasal mal rejimi edinilmiş mallara katılmadır (aksine sözleşme yoksa).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Evlilik içinde edinilen başlıca malvarlığı: ………… (taşınmaz tapu …, araç plaka …, banka birikimi, şirket payı vb.). Davacının katılma ve/veya katkı alacağı bulunmaktadır.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Tasfiye hesabı yargılama ile belirlenecek; gerektiğinde bilirkişi ve tedbir talep olunacaktır.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4721 sayılı TMK m.202, 218–241 (edinilmiş mallara katılma).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HMK tedbir ve delil hükümleri.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Mal rejiminin tasfiyesine;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Katılma/katkı alacağının tahsiline;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İhtiyati tedbire;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Yargılama giderlerinin davalıya yükletilmesine karar verilmesini arz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Boşanma ilamı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Tapu/araç/banka kayıtları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Katkı delilleri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Aile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