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KIŞISEL İLIŞKI DÜZENLEME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AİLE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Çocukla kişisel ilişkinin yeniden düzenlenmesi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Önceki kararla belirlenen kişisel ilişki günleri çocuğun yararına ve tarafların güncel durumuna uymamaktadır.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Talep edilen yeni düzen: …………. Gerekçe: eğitim, mesafe, sağlık, engelleme vb.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4721 sayılı TMK m.182, 323–326.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Kişisel ilişkinin yeniden düzenlenmesine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Önceki ilam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Gerekçe belgeleri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Aile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