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KIRA BEDELI ARTIRIM DAVASI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SULH HUKUK MAHKEMESİ’NE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Kira bedelinin yasal ölçütlerle artırılması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Mevcut kira ………… TL’dir. Yasal artış oranı / emsal bedel dikkate alınarak ………… TL’ye çıkarılması talep olunur. Dönem: 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6098 sayılı TBK kira artışı hükümleri.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Kira bedelinin tespit/artırımına karar verilmesini arz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Kira sözleşmesi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Emsaller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Ödeme dökümü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Kira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