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KAMULAŞTIRMA BEDEL ARTIRIMI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İDARE MAHKEMESİ SAYIN BAŞKANLIĞI’NA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Kamulaştırma Bedel Artırımı — talep ve yasal korunma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İşbu başvuru/dava, «Kamulaştırma Bedel Artırımı» konusunda hak ve menfaatlerimizin korunması amacıyla sunulmaktadır. Başvuran/davacı …………, karşı taraf …………’dir.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Uyuşmazlığın konusu ve oluş şekli: …………………………………………. Uyuşmazlık tarihi: …/…/……. Yer: …………. Varsa dosya/esas no: ………….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Bugüne kadar yapılan başvurular, yazışmalar ve sonuçları: …………………………………………. Karşı tarafın cevabı yetersiz kalmış / hiç cevap verilmemiştir / işlem hukuka aykırı tesis edilmiştir.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Talep konusu hak, yasal dayanakları ve somut delillerle desteklenmektedir. Delil listesi ekte sunulmuş olup yargılama/inceleme sırasında bilirkişi, tanık ve keşif taleplerimiz saklıdır.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5. Başvuru, hak düşürücü ve zamanaşımı süreleri ile varsa arabuluculuk/dava şartı ön koşulları gözetilerek yapılmıştır.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2577 sayılı İYUK; 2575 sayılı Danıştay Kanunu; Anayasa m.125.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Somut olaya uygulanacak özel kanun maddeleri yargılama/başvuru sırasında ayrıca somutlaştırılacaktır.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«Kamulaştırma Bedel Artırımı» talebimizin kabulüne;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Haklılık durumumuza göre yasal faiz, fer’i alacaklar ve tazminatların hüküm altına alınmasına (uygulanabilir ise);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Yargılama / takip giderleri ile vekâlet ücretinin karşı tarafa yükletilmesine;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Yasal haklarımızın saklı tutulmasına karar verilmesini saygılarımızla arz ve talep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Kimlik / vergi kimlik belgesi sureti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Dayanak sözleşme, fatura, ilam, idari işlem veya tutanak suretleri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Yazışma, tebliğ ve ödeme belgeler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Tanık listesi (varsa)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5. Vekâletname (avukat ile takipte)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6. Diğer: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İdare Hukuku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