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İSTIRDAT DAVASI DILEKÇESI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İstirdat Davası Dilekçesi — talep ve yasal korunma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İşbu başvuru/dava, «İstirdat Davası Dilekçesi» konusunda hak ve menfaatlerimizin korunması amacıyla sunulmaktadır. Başvuran/davacı …………, karşı taraf …………’dir.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Uyuşmazlığın konusu ve oluş şekli: …………………………………………. Uyuşmazlık tarihi: …/…/……. Yer: …………. Varsa dosya/esas no: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Bugüne kadar yapılan başvurular, yazışmalar ve sonuçları: …………………………………………. Karşı tarafın cevabı yetersiz kalmış / hiç cevap verilmemiştir / işlem hukuka aykırı tesis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Talep konusu hak, yasal dayanakları ve somut delillerle desteklenmektedir. Delil listesi ekte sunulmuş olup yargılama/inceleme sırasında bilirkişi, tanık ve keşif taleplerimiz saklıdır.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Başvuru, hak düşürücü ve zamanaşımı süreleri ile varsa arabuluculuk/dava şartı ön koşulları gözetilerek yapılmıştır.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2004 sayılı İcra ve İflas Kanunu; 6100 sayılı HMK; 6098 sayılı TBK.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Somut olaya uygulanacak özel kanun maddeleri yargılama/başvuru sırasında ayrıca somutlaştırılacaktır.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«İstirdat Davası Dilekçesi» talebimizin kabulüne;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Haklılık durumumuza göre yasal faiz, fer’i alacaklar ve tazminatların hüküm altına alınmasına (uygulanabilir ise);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/ takip giderleri ile vekâlet ücretinin karşı tarafa yükletilmesine;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Yasal haklarımızın saklı tutulmasına karar verilmesini saygılarımızla arz ve talep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Kimlik / vergi kimlik belgesi sureti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sözleşme, fatura, ilam, idari işlem veya tutanak suretleri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Yazışma, tebliğ ve ödeme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Tanık listesi (varsa)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Vekâletname (avukat ile takipte)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Diğer: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İcra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