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ISLAH DILEKÇESI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Dava dilekçesinin ıslahı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Açılan davada talep sonucu / vakıalar / miktar ıslah edilmektedir. Eski talep: …………. Islah ile talep: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HMK’daki ıslah hakkı ve harç yatırımı saklı/ifası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6100 sayılı HMK ıslah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Islahın kabulüne ve yargılamaya ıslah edilmiş talebe göre devamına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Harç makbuzu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Islah cetveli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Usul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