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İDDIANAMEYE İTIRAZ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AĞIR CEZA / ASLİYE CEZA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(İddianamenin kabulü aşamasında / itiraz mercine)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İddianamenin iadesi talebi (CMK m.174)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Cumhuriyet Başsavcılığı’nın …/… soruşturma, …/… esas sayılı iddianamesi ile müvekkil hakkında kamu davası açılmıştır.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İddianame CMK m.170 ve 174’te aranan unsurları taşımamakta; suçun unsurları açıklanmamış, deliller eksik değerlendirilmiş, lehe deliller gözetilmemiş ve/veya hukuka aykırı delillere dayanılmıştır.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Nitelendirme hatalı olup soruşturma eksik bırakılmıştır. Bu nedenle iddianamenin iadesi gerekmektedir.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5271 sayılı CMK m.170, 174.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Anayasa m.36 ve adil yargılanma güvenceleri.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İddianamenin CMK m.174 uyarınca iadesine;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Eksik hususların tamamlatılmasına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İddianame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Lehe delil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Vekâletname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Ceza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