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İDARI İŞLEMIN İPTALI DAVASI DILEKÇESI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İDARE MAHKEMESİ SAYIN BAŞKANLIĞI’NA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…/…/…… tarih ve …… sayılı idari işlemin iptali; yürütmenin durdurulması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Davalı idarece tesis edilen …/…/…… tarih ve …… sayılı işlem ile ………… yönünde işlem yapılmıştır. İşlem davacıya …/…/…… tarihinde tebliğ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İşlem; yetki, şekil, sebep, konu ve amaç unsurları yönünden hukuka aykırıdır. Gerekçe: ………………………………………….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İşlemin uygulanması hâlinde telafisi güç veya imkânsız zararlar doğacaktır. Bu nedenle öncelikle yürütmenin durdurulması gerekmektedir.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Dava, 2577 sayılı İYUK’ta öngörülen süre içinde açılmıştır.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2577 sayılı İYUK m.2, 7, 27 (iptal ve yürütmenin durdurulması).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Anayasa m.125 — idarenin her türlü eylem ve işlemine karşı yargı yolu.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Öncelikle yürütmenin durdurulmasına;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Dava konusu işlemin iptaline;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giderleri ve vekâlet ücretinin davalı idareye yükletilmesine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İdari işlem ve tebliğ belgesi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Zarar tehlikesini gösteren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İdare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