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HAKARET ŞIKÂYETI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T.C. ………… CUMHURİYET BAŞSAVCILIĞI’NA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TCK m.125 — hakaret suçundan şikâyet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…/…/…… tarihinde şüpheli, müştekinin onur, şeref ve saygınlığını rencide edecek şekilde ………… söz/yayın/paylaşımda bulunmuştur.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Eylem alenen / sosyal medyada / yüz yüze gerçekleşmiştir. Deliller: …………. Şikâyet yasal sürededir.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5237 sayılı TCK m.125.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CMK şikâyete bağlı suç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Soruşturma yapılmasına ve kamu davası açılmasına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Ekran görüntüsü/kayıt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Tanık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Kimlik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Ceza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