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HAGB'YE İTIRAZ DILEKÇESI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AĞIR CEZA / ASLİYE CEZA MAHKEMESİ’NE (itiraz mercine)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Hükmün açıklanmasının geri bırakılması kararına itiraz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Mahkemece HAGB kararı verilmiştir. Karar hukuka aykırıdır / lehe hükümler uygulanmamıştır / koşullar oluşmamıştır. Gerekçe: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5271 sayılı CMK m.231.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İtiraz usulü CMK m.268 vd.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HAGB kararının kaldırılmasına / düzeltilmesine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Gerekçeli karar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Delil özeti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Ceza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