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BELEDIYE TALEP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BELEDİYE BAŞKANLIĞI’NE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Belediye hizmeti talebi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 mahallesinde ………… hizmeti (yol, çöp, aydınlatma, imar, ruhsat vb.) gerekmektedir. Mevcut durum: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Belediye Kanunu ve ilgili yönetmelikler çerçevesinde hizmetin ifası talep olunur.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5393 sayılı Belediye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İlgili imar/çevre mevzuatı.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Gerekli hizmetin sağlanmasına ve sonucun bildirilmesine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Fotoğraf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Adres tarifi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Kimlik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İdare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