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AYIPLI MAL İADE TALEBI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TÜKETİCİ HAKEM HEYETİ BAŞKANLIĞI’NA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Ayıplı mal — bedel iadesi / değişim / onarım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…/…/…… tarihinde alınan ………… ürün ayıplıdır. Ayıp: …………. Satıcıya başvuru: …/…/……. Sonuç alınamamıştır.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TKHK seçimlik haklarından bedel iadesi / ayıpsız misliyle değişim kullanılmaktadır. Tutar: ………… TL.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6502 sayılı TKHK ayıplı mal hükümleri.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Bedelin iadesine / talebin kabulüne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Fatura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Fotoğraf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Tüketici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